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Zkladntext2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Nakladatelství  </w:t>
      </w:r>
    </w:p>
    <w:p>
      <w:pPr>
        <w:pStyle w:val="Zkladntext2"/>
        <w:rPr>
          <w:rFonts w:cs="Arial" w:ascii="Arial" w:hAnsi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JUDr. PAVEL BUŠTA, 143 00 Praha 4, Imrychova 881/21</w:t>
      </w:r>
    </w:p>
    <w:p>
      <w:pPr>
        <w:pStyle w:val="Zkladntext2"/>
        <w:rPr>
          <w:rFonts w:cs="Arial" w:ascii="Arial" w:hAnsi="Arial"/>
          <w:b w:val="false"/>
          <w:bCs w:val="false"/>
          <w:sz w:val="22"/>
          <w:szCs w:val="22"/>
          <w:u w:val="none"/>
        </w:rPr>
      </w:pPr>
      <w:hyperlink r:id="rId2">
        <w:r>
          <w:rPr>
            <w:rStyle w:val="Internetovodkaz"/>
            <w:rFonts w:cs="Arial" w:ascii="Arial" w:hAnsi="Arial"/>
            <w:b w:val="false"/>
            <w:bCs w:val="false"/>
            <w:sz w:val="22"/>
            <w:szCs w:val="22"/>
            <w:u w:val="none"/>
          </w:rPr>
          <w:t>pavel.busta@volny.cz</w:t>
        </w:r>
      </w:hyperlink>
      <w:r>
        <w:rPr>
          <w:rFonts w:cs="Arial" w:ascii="Arial" w:hAnsi="Arial"/>
          <w:b w:val="false"/>
          <w:bCs w:val="false"/>
          <w:sz w:val="22"/>
          <w:szCs w:val="22"/>
          <w:u w:val="none"/>
        </w:rPr>
        <w:t xml:space="preserve"> – tel. 602348078</w:t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cs="Arial" w:ascii="Arial" w:hAnsi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vydává </w:t>
      </w:r>
    </w:p>
    <w:p>
      <w:pPr>
        <w:pStyle w:val="Zkladntext2"/>
        <w:rPr>
          <w:rFonts w:cs="Arial" w:ascii="Arial" w:hAnsi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v březnu 2016</w:t>
      </w:r>
    </w:p>
    <w:p>
      <w:pPr>
        <w:pStyle w:val="Tlotextu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novou aktuální publikaci </w:t>
      </w:r>
    </w:p>
    <w:p>
      <w:pPr>
        <w:pStyle w:val="Zkladntext2"/>
        <w:rPr>
          <w:rFonts w:cs="Arial" w:ascii="Arial" w:hAnsi="Arial"/>
          <w:b/>
          <w:bCs/>
          <w:sz w:val="30"/>
          <w:szCs w:val="30"/>
        </w:rPr>
      </w:pPr>
      <w:r>
        <w:rPr>
          <w:rFonts w:cs="Arial" w:ascii="Arial" w:hAnsi="Arial"/>
          <w:b/>
          <w:bCs/>
          <w:sz w:val="30"/>
          <w:szCs w:val="30"/>
        </w:rPr>
        <w:t>ZÁKON O SILNIČNÍM PROVOZU</w:t>
      </w:r>
    </w:p>
    <w:p>
      <w:pPr>
        <w:pStyle w:val="Zkladntext2"/>
        <w:rPr>
          <w:rFonts w:cs="Arial" w:ascii="Arial" w:hAnsi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36"/>
        </w:rPr>
        <w:t xml:space="preserve"> </w:t>
      </w:r>
      <w:r>
        <w:rPr>
          <w:rFonts w:cs="Arial" w:ascii="Arial" w:hAnsi="Arial"/>
          <w:b/>
          <w:bCs/>
          <w:sz w:val="22"/>
          <w:szCs w:val="22"/>
        </w:rPr>
        <w:t>(ve znění 42 novel)</w:t>
      </w:r>
    </w:p>
    <w:p>
      <w:pPr>
        <w:pStyle w:val="Zkladntext2"/>
        <w:rPr>
          <w:rFonts w:cs="Arial" w:ascii="Arial" w:hAnsi="Arial"/>
          <w:b/>
          <w:bCs/>
          <w:sz w:val="32"/>
        </w:rPr>
      </w:pPr>
      <w:r>
        <w:rPr>
          <w:rFonts w:cs="Arial" w:ascii="Arial" w:hAnsi="Arial"/>
          <w:b/>
          <w:bCs/>
          <w:sz w:val="32"/>
        </w:rPr>
        <w:t xml:space="preserve">s komentářem </w:t>
      </w:r>
    </w:p>
    <w:p>
      <w:pPr>
        <w:pStyle w:val="Normal"/>
        <w:jc w:val="center"/>
        <w:rPr>
          <w:rFonts w:cs="Arial" w:ascii="Arial" w:hAnsi="Arial"/>
          <w:b/>
          <w:sz w:val="22"/>
          <w:szCs w:val="22"/>
        </w:rPr>
      </w:pPr>
      <w:r>
        <w:rPr>
          <w:rFonts w:cs="Arial" w:ascii="Calibri" w:hAnsi="Calibri"/>
          <w:b/>
          <w:sz w:val="24"/>
          <w:szCs w:val="24"/>
        </w:rPr>
        <w:t>autorů JUDr. Pavla Bušty a JUDr. Jana Kněžínka, Ph.D.</w:t>
      </w:r>
      <w:r>
        <w:rPr>
          <w:rFonts w:cs="Arial" w:ascii="Arial" w:hAnsi="Arial"/>
          <w:b/>
          <w:sz w:val="22"/>
          <w:szCs w:val="22"/>
        </w:rPr>
        <w:t xml:space="preserve"> </w:t>
      </w:r>
    </w:p>
    <w:p>
      <w:pPr>
        <w:pStyle w:val="Normal"/>
        <w:jc w:val="both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851" w:leader="none"/>
        </w:tabs>
        <w:ind w:left="0" w:right="50" w:hanging="0"/>
        <w:jc w:val="center"/>
        <w:rPr>
          <w:rFonts w:cs="Calibri" w:ascii="Calibri" w:hAnsi="Calibri"/>
          <w:b/>
          <w:bCs/>
        </w:rPr>
      </w:pPr>
      <w:r>
        <w:rPr>
          <w:rFonts w:cs="Calibri" w:ascii="Calibri" w:hAnsi="Calibri"/>
          <w:b/>
          <w:bCs/>
        </w:rPr>
        <w:t>Publikace</w:t>
      </w:r>
      <w:r>
        <w:rPr>
          <w:rFonts w:cs="Calibri" w:ascii="Calibri" w:hAnsi="Calibri"/>
        </w:rPr>
        <w:t xml:space="preserve"> formátu A5 </w:t>
      </w:r>
      <w:r>
        <w:rPr>
          <w:rFonts w:cs="Calibri" w:ascii="Calibri" w:hAnsi="Calibri"/>
          <w:b/>
          <w:bCs/>
        </w:rPr>
        <w:t>na 47</w:t>
      </w:r>
      <w:r>
        <w:rPr>
          <w:rFonts w:cs="Calibri" w:ascii="Calibri" w:hAnsi="Calibri"/>
          <w:b/>
          <w:bCs/>
        </w:rPr>
        <w:t>0</w:t>
      </w:r>
      <w:r>
        <w:rPr>
          <w:rFonts w:cs="Calibri" w:ascii="Calibri" w:hAnsi="Calibri"/>
          <w:b/>
          <w:bCs/>
        </w:rPr>
        <w:t xml:space="preserve"> stranách obsahuje</w:t>
      </w:r>
    </w:p>
    <w:p>
      <w:pPr>
        <w:pStyle w:val="Normal"/>
        <w:tabs>
          <w:tab w:val="left" w:pos="851" w:leader="none"/>
        </w:tabs>
        <w:ind w:left="0" w:right="50" w:hanging="0"/>
        <w:jc w:val="center"/>
        <w:rPr>
          <w:rFonts w:cs="Calibri" w:ascii="Calibri" w:hAnsi="Calibri"/>
        </w:rPr>
      </w:pPr>
      <w:r>
        <w:rPr>
          <w:rFonts w:cs="Calibri" w:ascii="Calibri" w:hAnsi="Calibri"/>
        </w:rPr>
        <w:t xml:space="preserve">zákon č. 361/2000 Sb., </w:t>
      </w:r>
    </w:p>
    <w:p>
      <w:pPr>
        <w:pStyle w:val="Normal"/>
        <w:tabs>
          <w:tab w:val="left" w:pos="851" w:leader="none"/>
        </w:tabs>
        <w:ind w:left="0" w:right="50" w:hanging="0"/>
        <w:jc w:val="center"/>
        <w:rPr>
          <w:rFonts w:cs="Calibri" w:ascii="Calibri" w:hAnsi="Calibri"/>
        </w:rPr>
      </w:pPr>
      <w:r>
        <w:rPr>
          <w:rFonts w:cs="Calibri" w:ascii="Calibri" w:hAnsi="Calibri"/>
        </w:rPr>
        <w:t xml:space="preserve">o provozu na pozemních komunikacích a o změnách některých zákonů </w:t>
        <w:br/>
        <w:t xml:space="preserve">(zákon o silničním provozu), </w:t>
      </w:r>
    </w:p>
    <w:p>
      <w:pPr>
        <w:pStyle w:val="Normal"/>
        <w:tabs>
          <w:tab w:val="left" w:pos="851" w:leader="none"/>
        </w:tabs>
        <w:ind w:left="0" w:right="50" w:hanging="0"/>
        <w:jc w:val="center"/>
        <w:rPr>
          <w:rFonts w:cs="Calibri" w:ascii="Calibri" w:hAnsi="Calibri"/>
        </w:rPr>
      </w:pPr>
      <w:r>
        <w:rPr>
          <w:rFonts w:cs="Calibri" w:ascii="Calibri" w:hAnsi="Calibri"/>
        </w:rPr>
        <w:t>jak vyplývá ze změn provedených</w:t>
      </w:r>
    </w:p>
    <w:p>
      <w:pPr>
        <w:pStyle w:val="Normal"/>
        <w:jc w:val="both"/>
        <w:rPr>
          <w:rFonts w:ascii="Arial" w:hAnsi="Arial"/>
          <w:b w:val="false"/>
          <w:bCs w:val="false"/>
          <w:strike w:val="false"/>
          <w:dstrike w:val="false"/>
          <w:color w:val="000000"/>
          <w:sz w:val="16"/>
          <w:szCs w:val="16"/>
          <w:u w:val="none"/>
        </w:rPr>
      </w:pPr>
      <w:r>
        <w:rPr>
          <w:rFonts w:ascii="Arial" w:hAnsi="Arial"/>
          <w:b w:val="false"/>
          <w:bCs w:val="false"/>
          <w:strike w:val="false"/>
          <w:dstrike w:val="false"/>
          <w:color w:val="000000"/>
          <w:sz w:val="16"/>
          <w:szCs w:val="16"/>
          <w:u w:val="none"/>
        </w:rPr>
        <w:t xml:space="preserve">zákonem č. 60/2001 Sb., zákonem č. 478/2001 Sb., zákonem č. 62/2002 Sb., zákonem č. 311/2002 Sb., zákonem č. 320/2002 Sb., zákonem č. 436/2003 Sb., zákonem č. 53/2004 Sb., zákonem č. 229/2005 Sb., zákonem č. 411/2005 Sb., zákonem č. 76/2006 Sb., zákonem č. 226/2006 Sb., zákonem č. 264/2006 Sb., zákonem č. 342/2006 Sb., zákonem č. 170/2007 Sb., zákonem č. 215/2007 Sb., zákonem č. 374/2007 Sb., zákonem č. 124/2008 Sb., zákonem č. 274/2008 Sb., zákonem č. 480/2008 Sb., zákonem č. 227/2009 Sb., zákonem č. 281/2009 Sb., zákonem č. 424/2010 Sb., zákonem č. 133/2011 Sb., zákonem č. 297/2011 Sb., zákonem č. 329/2011 Sb., zákonem č. 341/2011 Sb., zákonem č. 375/2011 Sb., zákonem č. 18/2012 Sb., zákonem č. 119/2012 Sb., zákonem č. 193/2012 Sb., zákonem č. 197/2012 Sb., zákonem č. 390/2012 Sb., zákonem č. 396/2012 Sb., zákonem č. 101/2013 Sb., zákonem č. 233/2013 Sb., zákonem č. 239/2013 Sb., zákonem č. 300/2013 Sb., zákonem č. 64/2014 Sb., zákonem č. 230/2014 Sb., zákonem č. 249/2014 Sb., zákonem č. 268/2015 Sb. a zákonem č. 48/2016 Sb. </w:t>
      </w:r>
    </w:p>
    <w:p>
      <w:pPr>
        <w:pStyle w:val="Normal"/>
        <w:tabs>
          <w:tab w:val="left" w:pos="851" w:leader="none"/>
        </w:tabs>
        <w:ind w:left="0" w:right="0" w:firstLine="284"/>
        <w:jc w:val="center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</w:r>
    </w:p>
    <w:p>
      <w:pPr>
        <w:pStyle w:val="Normal"/>
        <w:tabs>
          <w:tab w:val="left" w:pos="851" w:leader="none"/>
        </w:tabs>
        <w:ind w:left="0" w:right="0" w:firstLine="284"/>
        <w:jc w:val="center"/>
        <w:rPr>
          <w:rFonts w:cs="Calibri" w:ascii="Calibri" w:hAnsi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 xml:space="preserve">Toto </w:t>
      </w:r>
      <w:r>
        <w:rPr>
          <w:rFonts w:cs="Calibri" w:ascii="Calibri" w:hAnsi="Calibri"/>
          <w:b/>
          <w:bCs/>
          <w:sz w:val="22"/>
          <w:szCs w:val="22"/>
        </w:rPr>
        <w:t>úplné znění zákona č. 361/2000 Sb., ve znění pozdějších předpisů, je opatřené komentářem, judikáty, poznámkami a vysvětlivkami</w:t>
      </w:r>
      <w:r>
        <w:rPr>
          <w:rFonts w:cs="Calibri" w:ascii="Calibri" w:hAnsi="Calibri"/>
          <w:sz w:val="22"/>
          <w:szCs w:val="22"/>
        </w:rPr>
        <w:t>.</w:t>
      </w:r>
    </w:p>
    <w:p>
      <w:pPr>
        <w:pStyle w:val="Normal"/>
        <w:tabs>
          <w:tab w:val="left" w:pos="851" w:leader="none"/>
        </w:tabs>
        <w:ind w:left="0" w:right="0" w:hanging="0"/>
        <w:jc w:val="center"/>
        <w:rPr>
          <w:rFonts w:eastAsia="Calibri" w:cs="Calibri" w:ascii="Calibri" w:hAnsi="Calibri"/>
          <w:b/>
          <w:bCs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Publikace obsahuje i </w:t>
      </w:r>
      <w:r>
        <w:rPr>
          <w:rFonts w:eastAsia="Calibri" w:cs="Calibri" w:ascii="Calibri" w:hAnsi="Calibri"/>
          <w:b/>
          <w:bCs/>
          <w:sz w:val="22"/>
          <w:szCs w:val="22"/>
        </w:rPr>
        <w:t xml:space="preserve">novou vyhlášku č. 294/2015 Sb. upravující význam, užití, provedení  </w:t>
      </w:r>
    </w:p>
    <w:p>
      <w:pPr>
        <w:pStyle w:val="Normal"/>
        <w:tabs>
          <w:tab w:val="left" w:pos="851" w:leader="none"/>
        </w:tabs>
        <w:ind w:left="0" w:right="0" w:hanging="0"/>
        <w:jc w:val="center"/>
        <w:rPr>
          <w:rFonts w:eastAsia="Calibri" w:cs="Calibri" w:ascii="Calibri" w:hAnsi="Calibri"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  <w:t>a tvary všech dopravních značek a dopravních zařízení</w:t>
      </w:r>
      <w:r>
        <w:rPr>
          <w:rFonts w:eastAsia="Calibri" w:cs="Calibri" w:ascii="Calibri" w:hAnsi="Calibri"/>
          <w:sz w:val="22"/>
          <w:szCs w:val="22"/>
        </w:rPr>
        <w:t>.</w:t>
      </w:r>
    </w:p>
    <w:p>
      <w:pPr>
        <w:pStyle w:val="Normal"/>
        <w:tabs>
          <w:tab w:val="left" w:pos="851" w:leader="none"/>
        </w:tabs>
        <w:ind w:left="0" w:right="0" w:firstLine="284"/>
        <w:jc w:val="center"/>
        <w:rPr>
          <w:rFonts w:cs="Calibri" w:ascii="Calibri" w:hAnsi="Calibri"/>
          <w:b/>
          <w:bCs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 xml:space="preserve">Součástí publikace je </w:t>
      </w:r>
      <w:r>
        <w:rPr>
          <w:rFonts w:cs="Calibri" w:ascii="Calibri" w:hAnsi="Calibri"/>
          <w:b/>
          <w:bCs/>
          <w:sz w:val="22"/>
          <w:szCs w:val="22"/>
        </w:rPr>
        <w:t>i pojednání o  právní úpravě správních deliktů a trestných činů v silničním provozu a o odpovědnosti za škodu.</w:t>
      </w:r>
    </w:p>
    <w:p>
      <w:pPr>
        <w:pStyle w:val="Normal"/>
        <w:tabs>
          <w:tab w:val="left" w:pos="851" w:leader="none"/>
        </w:tabs>
        <w:ind w:left="0" w:right="0" w:firstLine="284"/>
        <w:jc w:val="center"/>
        <w:rPr>
          <w:rFonts w:cs="Calibri" w:ascii="Calibri" w:hAnsi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 </w:t>
      </w:r>
      <w:r>
        <w:rPr>
          <w:rFonts w:cs="Calibri" w:ascii="Calibri" w:hAnsi="Calibri"/>
          <w:sz w:val="22"/>
          <w:szCs w:val="22"/>
        </w:rPr>
        <w:t xml:space="preserve">Zpracována je </w:t>
      </w:r>
      <w:r>
        <w:rPr>
          <w:rFonts w:cs="Calibri" w:ascii="Calibri" w:hAnsi="Calibri"/>
          <w:b/>
          <w:bCs/>
          <w:sz w:val="22"/>
          <w:szCs w:val="22"/>
        </w:rPr>
        <w:t>podle právního stavu ke dni 20. února 2016</w:t>
      </w:r>
      <w:r>
        <w:rPr>
          <w:rFonts w:cs="Calibri" w:ascii="Calibri" w:hAnsi="Calibri"/>
          <w:sz w:val="22"/>
          <w:szCs w:val="22"/>
        </w:rPr>
        <w:t>.</w:t>
      </w:r>
    </w:p>
    <w:p>
      <w:pPr>
        <w:pStyle w:val="Normal"/>
        <w:tabs>
          <w:tab w:val="left" w:pos="851" w:leader="none"/>
        </w:tabs>
        <w:ind w:left="0" w:right="0" w:firstLine="284"/>
        <w:jc w:val="center"/>
        <w:rPr>
          <w:rFonts w:eastAsia="Calibri" w:cs="Calibri" w:ascii="Calibri" w:hAnsi="Calibri"/>
        </w:rPr>
      </w:pPr>
      <w:r>
        <w:rPr>
          <w:rFonts w:eastAsia="Calibri" w:cs="Calibri" w:ascii="Calibri" w:hAnsi="Calibri"/>
        </w:rPr>
        <w:t xml:space="preserve"> </w:t>
      </w:r>
    </w:p>
    <w:p>
      <w:pPr>
        <w:pStyle w:val="Normal"/>
        <w:tabs>
          <w:tab w:val="left" w:pos="851" w:leader="none"/>
        </w:tabs>
        <w:ind w:left="0" w:right="0" w:firstLine="284"/>
        <w:jc w:val="both"/>
        <w:rPr>
          <w:rFonts w:cs="Calibri" w:ascii="Arial" w:hAnsi="Arial"/>
          <w:sz w:val="16"/>
          <w:szCs w:val="16"/>
        </w:rPr>
      </w:pPr>
      <w:r>
        <w:rPr>
          <w:rFonts w:cs="Calibri" w:ascii="Arial" w:hAnsi="Arial"/>
          <w:b/>
          <w:bCs/>
          <w:sz w:val="16"/>
          <w:szCs w:val="16"/>
        </w:rPr>
        <w:t>Publikace</w:t>
      </w:r>
      <w:r>
        <w:rPr>
          <w:rFonts w:cs="Calibri" w:ascii="Arial" w:hAnsi="Arial"/>
          <w:sz w:val="16"/>
          <w:szCs w:val="16"/>
        </w:rPr>
        <w:t xml:space="preserve"> </w:t>
      </w:r>
      <w:r>
        <w:rPr>
          <w:rFonts w:cs="Calibri" w:ascii="Arial" w:hAnsi="Arial"/>
          <w:b/>
          <w:bCs/>
          <w:sz w:val="16"/>
          <w:szCs w:val="16"/>
        </w:rPr>
        <w:t>je určena</w:t>
      </w:r>
      <w:r>
        <w:rPr>
          <w:rFonts w:cs="Calibri" w:ascii="Arial" w:hAnsi="Arial"/>
          <w:sz w:val="16"/>
          <w:szCs w:val="16"/>
        </w:rPr>
        <w:t xml:space="preserve"> zejména všem žadatelům o řidičské oprávnění k výuce předpisů o provozu na pozemních komunikacích, ale i držitelům řidičského oprávnění k seznámení se s novelizovanou právní úpravou, provozovatelům silniční dopravy, stejně jako učitelům autoškol, zkušebním komisařům, ale i těm, kteří danou právní úpravu aplikují na konkrétní skutková jednání v silničním provozu, tj. poli</w:t>
        <w:softHyphen/>
        <w:t xml:space="preserve">cejním orgánům, obecním úřadům obcí s rozšířenou působností, státním zástupcům a soudcům, ale i advokátům. Patřit by měla i mezi základní pomůcky především těch pracovníků pojišťoven, do jejichž působnosti náleží likvidace pojistných událostí z titulu pojištění odpovědnosti z provozu vozidla, stejně jako samostatných likvidátorů pojistných událostí, pojišťovacích agentů a makléřů. </w:t>
      </w:r>
    </w:p>
    <w:p>
      <w:pPr>
        <w:pStyle w:val="Normal"/>
        <w:tabs>
          <w:tab w:val="left" w:pos="851" w:leader="none"/>
        </w:tabs>
        <w:ind w:left="0" w:right="0" w:hanging="0"/>
        <w:jc w:val="center"/>
        <w:rPr>
          <w:rFonts w:ascii="Calibri" w:hAnsi="Calibri"/>
        </w:rPr>
      </w:pPr>
      <w:r>
        <w:rPr>
          <w:rFonts w:ascii="Calibri" w:hAnsi="Calibri"/>
          <w:b/>
          <w:bCs/>
        </w:rPr>
        <w:t>Cena publikace činí 475,- Kč</w:t>
      </w:r>
      <w:r>
        <w:rPr>
          <w:rFonts w:ascii="Calibri" w:hAnsi="Calibri"/>
        </w:rPr>
        <w:t xml:space="preserve"> </w:t>
      </w:r>
    </w:p>
    <w:p>
      <w:pPr>
        <w:pStyle w:val="Normal"/>
        <w:tabs>
          <w:tab w:val="left" w:pos="851" w:leader="none"/>
        </w:tabs>
        <w:ind w:left="0" w:right="0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</w:t>
      </w:r>
      <w:r>
        <w:rPr>
          <w:rFonts w:ascii="Calibri" w:hAnsi="Calibri"/>
          <w:sz w:val="24"/>
          <w:szCs w:val="24"/>
        </w:rPr>
        <w:t>Tuto publikaci si můžete objednat podle následujícího</w:t>
      </w:r>
    </w:p>
    <w:p>
      <w:pPr>
        <w:pStyle w:val="Normal"/>
        <w:tabs>
          <w:tab w:val="left" w:pos="851" w:leader="none"/>
        </w:tabs>
        <w:ind w:left="0" w:right="0" w:hanging="0"/>
        <w:jc w:val="center"/>
        <w:rPr/>
      </w:pPr>
      <w:r>
        <w:rPr/>
      </w:r>
    </w:p>
    <w:tbl>
      <w:tblPr>
        <w:jc w:val="left"/>
        <w:tblInd w:w="50" w:type="dxa"/>
        <w:tblBorders>
          <w:top w:val="single" w:sz="2" w:space="0" w:color="000001"/>
          <w:left w:val="single" w:sz="2" w:space="0" w:color="000001"/>
          <w:bottom w:val="nil"/>
          <w:insideH w:val="nil"/>
          <w:right w:val="single" w:sz="2" w:space="0" w:color="000001"/>
          <w:insideV w:val="single" w:sz="2" w:space="0" w:color="000001"/>
        </w:tblBorders>
        <w:tblCellMar>
          <w:top w:w="55" w:type="dxa"/>
          <w:left w:w="48" w:type="dxa"/>
          <w:bottom w:w="55" w:type="dxa"/>
          <w:right w:w="55" w:type="dxa"/>
        </w:tblCellMar>
      </w:tblPr>
      <w:tblGrid>
        <w:gridCol w:w="9083"/>
      </w:tblGrid>
      <w:tr>
        <w:trPr>
          <w:cantSplit w:val="false"/>
        </w:trPr>
        <w:tc>
          <w:tcPr>
            <w:tcW w:w="9083" w:type="dxa"/>
            <w:tcBorders>
              <w:top w:val="single" w:sz="2" w:space="0" w:color="000001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ZÁVAZNÁ OBJEDNÁVKA PUBLIKACE</w:t>
            </w:r>
          </w:p>
          <w:p>
            <w:pPr>
              <w:pStyle w:val="Obsahtabulk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 Bušta, J. Kněžínek, Zákon o silničním provozu, ve znění 42 novel, s komentářem, Praha 2016</w:t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Objednatel:                 </w:t>
            </w:r>
          </w:p>
          <w:p>
            <w:pPr>
              <w:pStyle w:val="Obsahtabulk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>IČ:</w:t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Ulice:                                                            Obec:                                                    PSČ:</w:t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Cena: 475,- Kč     (Cena včetně poštovného a balného činí 555,- Kč)                                  Počet kusů:</w:t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nil"/>
              <w:insideH w:val="nil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Objednávky přijímá: JUDr. Pavel Bušta, 143 00 Praha 4, Imrychova 881/21, a to poštou nebo e-mailem</w:t>
            </w:r>
          </w:p>
          <w:p>
            <w:pPr>
              <w:pStyle w:val="Obsahtabulk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cantSplit w:val="false"/>
        </w:trPr>
        <w:tc>
          <w:tcPr>
            <w:tcW w:w="9083" w:type="dxa"/>
            <w:tcBorders>
              <w:top w:val="nil"/>
              <w:left w:val="single" w:sz="2" w:space="0" w:color="000001"/>
              <w:bottom w:val="single" w:sz="2" w:space="0" w:color="000001"/>
              <w:insideH w:val="single" w:sz="2" w:space="0" w:color="000001"/>
              <w:right w:val="single" w:sz="2" w:space="0" w:color="000001"/>
              <w:insideV w:val="single" w:sz="2" w:space="0" w:color="000001"/>
            </w:tcBorders>
            <w:shd w:fill="FFFFFF" w:val="clear"/>
            <w:tcMar>
              <w:left w:w="48" w:type="dxa"/>
            </w:tcMar>
          </w:tcPr>
          <w:p>
            <w:pPr>
              <w:pStyle w:val="Obsahtabulk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Normal"/>
        <w:jc w:val="both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SimSun" w:cs="Mangal"/>
        <w:sz w:val="24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cs-CZ" w:eastAsia="zh-CN" w:bidi="ar-SA"/>
    </w:rPr>
  </w:style>
  <w:style w:type="paragraph" w:styleId="Nadpis1">
    <w:name w:val="Nadpis 1"/>
    <w:basedOn w:val="Nadpis"/>
    <w:pPr/>
    <w:rPr/>
  </w:style>
  <w:style w:type="paragraph" w:styleId="Nadpis2">
    <w:name w:val="Nadpis 2"/>
    <w:basedOn w:val="Nadpis"/>
    <w:pPr/>
    <w:rPr/>
  </w:style>
  <w:style w:type="paragraph" w:styleId="Nadpis3">
    <w:name w:val="Nadpis 3"/>
    <w:basedOn w:val="Nadpis"/>
    <w:pPr/>
    <w:rPr/>
  </w:style>
  <w:style w:type="character" w:styleId="Standardnpsmoodstavce">
    <w:name w:val="Standardní písmo odstavce"/>
    <w:rPr/>
  </w:style>
  <w:style w:type="character" w:styleId="ZkladntextChar">
    <w:name w:val="Základní text Char"/>
    <w:basedOn w:val="Standardnpsmoodstavce"/>
    <w:rPr>
      <w:rFonts w:ascii="Times New Roman" w:hAnsi="Times New Roman" w:eastAsia="Times New Roman" w:cs="Times New Roman"/>
      <w:sz w:val="24"/>
      <w:szCs w:val="24"/>
    </w:rPr>
  </w:style>
  <w:style w:type="character" w:styleId="Zkladntext2Char">
    <w:name w:val="Základní text 2 Char"/>
    <w:basedOn w:val="Standardnpsmoodstavce"/>
    <w:rPr>
      <w:rFonts w:ascii="Times New Roman" w:hAnsi="Times New Roman" w:eastAsia="Times New Roman" w:cs="Times New Roman"/>
      <w:sz w:val="48"/>
      <w:szCs w:val="24"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  <w:jc w:val="center"/>
    </w:pPr>
    <w:rPr/>
  </w:style>
  <w:style w:type="paragraph" w:styleId="Seznam">
    <w:name w:val="Seznam"/>
    <w:basedOn w:val="Tlotextu"/>
    <w:pPr/>
    <w:rPr>
      <w:rFonts w:cs="Mangal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Mangal"/>
    </w:rPr>
  </w:style>
  <w:style w:type="paragraph" w:styleId="Zkladntext2">
    <w:name w:val="Základní text 2"/>
    <w:basedOn w:val="Normal"/>
    <w:pPr>
      <w:jc w:val="center"/>
    </w:pPr>
    <w:rPr>
      <w:sz w:val="48"/>
    </w:rPr>
  </w:style>
  <w:style w:type="paragraph" w:styleId="Default">
    <w:name w:val="Default"/>
    <w:pPr>
      <w:widowControl w:val="false"/>
      <w:suppressAutoHyphens w:val="true"/>
      <w:bidi w:val="0"/>
      <w:jc w:val="left"/>
    </w:pPr>
    <w:rPr>
      <w:rFonts w:ascii="Times New Roman" w:hAnsi="Times New Roman" w:eastAsia="SimSun" w:cs="Mangal"/>
      <w:color w:val="000000"/>
      <w:sz w:val="24"/>
      <w:szCs w:val="24"/>
      <w:lang w:val="cs-CZ" w:eastAsia="zh-CN" w:bidi="hi-IN"/>
    </w:rPr>
  </w:style>
  <w:style w:type="paragraph" w:styleId="Citace">
    <w:name w:val="Citace"/>
    <w:basedOn w:val="Normal"/>
    <w:pPr/>
    <w:rPr/>
  </w:style>
  <w:style w:type="paragraph" w:styleId="Nzev">
    <w:name w:val="Název"/>
    <w:basedOn w:val="Nadpis"/>
    <w:pPr/>
    <w:rPr/>
  </w:style>
  <w:style w:type="paragraph" w:styleId="Podtitul">
    <w:name w:val="Podtitul"/>
    <w:basedOn w:val="Nadpis"/>
    <w:pPr/>
    <w:rPr/>
  </w:style>
  <w:style w:type="paragraph" w:styleId="Obsahtabulky">
    <w:name w:val="Obsah tabulky"/>
    <w:basedOn w:val="Normal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avel.busta@volny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5640</TotalTime>
  <Application>LibreOffice/4.2.5.2$Windows_x86 LibreOffice_project/61cb170a04bb1f12e77c884eab9192be736ec5f5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2016-01-08T12:54:00Z</dcterms:created>
  <dc:language>cs-CZ</dc:language>
  <cp:lastModifiedBy>LENOVO USER</cp:lastModifiedBy>
  <cp:lastPrinted>2016-02-16T21:46:58Z</cp:lastPrinted>
  <dcterms:modified xsi:type="dcterms:W3CDTF">2016-01-08T12:54:00Z</dcterms:modified>
  <cp:revision>4</cp:revision>
  <dc:title>JUDr</dc:title>
</cp:coreProperties>
</file>