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ackground w:color="FFFFFF"/>
  <w:body>
    <w:p>
      <w:pPr>
        <w:pStyle w:val="Normal"/>
        <w:jc w:val="center"/>
        <w:rPr>
          <w:rFonts w:cs="Arial" w:ascii="Arial" w:hAnsi="Arial"/>
        </w:rPr>
      </w:pPr>
      <w:r>
        <w:rPr>
          <w:rFonts w:cs="Arial" w:ascii="Arial" w:hAnsi="Arial"/>
          <w:b/>
          <w:bCs/>
        </w:rPr>
        <w:t>JUDr. Pavel BUŠTA, 143 00 Praha 4, Imrychova 881/21</w:t>
      </w:r>
      <w:r>
        <w:rPr>
          <w:rFonts w:cs="Arial" w:ascii="Arial" w:hAnsi="Arial"/>
        </w:rPr>
        <w:t xml:space="preserve"> </w:t>
      </w:r>
    </w:p>
    <w:p>
      <w:pPr>
        <w:pStyle w:val="Normal"/>
        <w:jc w:val="center"/>
        <w:rPr>
          <w:rFonts w:cs="Arial" w:ascii="Arial" w:hAnsi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(</w:t>
      </w:r>
      <w:hyperlink r:id="rId2">
        <w:r>
          <w:rPr>
            <w:rStyle w:val="Internetovodkaz"/>
            <w:rFonts w:cs="Arial" w:ascii="Arial" w:hAnsi="Arial"/>
            <w:sz w:val="18"/>
            <w:szCs w:val="18"/>
          </w:rPr>
          <w:t>pavel.busta@volny.cz</w:t>
        </w:r>
      </w:hyperlink>
      <w:r>
        <w:rPr>
          <w:rFonts w:cs="Arial" w:ascii="Arial" w:hAnsi="Arial"/>
          <w:sz w:val="18"/>
          <w:szCs w:val="18"/>
        </w:rPr>
        <w:t>)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cs="Arial" w:ascii="Arial" w:hAnsi="Arial"/>
        </w:rPr>
      </w:pPr>
      <w:r>
        <w:rPr>
          <w:rFonts w:cs="Arial" w:ascii="Arial" w:hAnsi="Arial"/>
        </w:rPr>
        <w:t>si Vás dovoluje pozvat na seminář</w:t>
      </w:r>
    </w:p>
    <w:p>
      <w:pPr>
        <w:pStyle w:val="Normal"/>
        <w:pBdr>
          <w:top w:val="nil"/>
          <w:left w:val="nil"/>
          <w:bottom w:val="single" w:sz="8" w:space="1" w:color="000001"/>
          <w:right w:val="nil"/>
        </w:pBdr>
        <w:jc w:val="center"/>
        <w:rPr/>
      </w:pPr>
      <w:r>
        <w:rPr/>
      </w:r>
    </w:p>
    <w:p>
      <w:pPr>
        <w:pStyle w:val="Nadpis1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adpis1"/>
        <w:numPr>
          <w:ilvl w:val="0"/>
          <w:numId w:val="1"/>
        </w:numPr>
        <w:rPr>
          <w:rFonts w:cs="Arial" w:ascii="Arial" w:hAnsi="Arial"/>
          <w:sz w:val="36"/>
          <w:szCs w:val="36"/>
        </w:rPr>
      </w:pPr>
      <w:r>
        <w:rPr>
          <w:rFonts w:eastAsia="Arial" w:cs="Arial" w:ascii="Arial" w:hAnsi="Arial"/>
          <w:sz w:val="36"/>
          <w:szCs w:val="36"/>
        </w:rPr>
        <w:t xml:space="preserve"> </w:t>
      </w:r>
      <w:r>
        <w:rPr>
          <w:rFonts w:cs="Arial" w:ascii="Arial" w:hAnsi="Arial"/>
          <w:sz w:val="36"/>
          <w:szCs w:val="36"/>
        </w:rPr>
        <w:t>NovÁ PRÁVNÍ ÚPRAVA</w:t>
      </w:r>
    </w:p>
    <w:p>
      <w:pPr>
        <w:pStyle w:val="Nadpis1"/>
        <w:numPr>
          <w:ilvl w:val="0"/>
          <w:numId w:val="1"/>
        </w:numPr>
        <w:rPr>
          <w:rFonts w:eastAsia="Arial" w:cs="Arial" w:ascii="Arial" w:hAnsi="Arial"/>
          <w:sz w:val="36"/>
          <w:szCs w:val="36"/>
        </w:rPr>
      </w:pPr>
      <w:r>
        <w:rPr>
          <w:rFonts w:eastAsia="Arial" w:cs="Arial" w:ascii="Arial" w:hAnsi="Arial"/>
          <w:sz w:val="36"/>
          <w:szCs w:val="36"/>
        </w:rPr>
        <w:t xml:space="preserve"> </w:t>
      </w:r>
      <w:r>
        <w:rPr>
          <w:rFonts w:eastAsia="Arial" w:cs="Arial" w:ascii="Arial" w:hAnsi="Arial"/>
          <w:sz w:val="36"/>
          <w:szCs w:val="36"/>
        </w:rPr>
        <w:t>ODPOVĚDNOSTI ZA PŘESTUPKY</w:t>
      </w:r>
    </w:p>
    <w:p>
      <w:pPr>
        <w:pStyle w:val="Normal"/>
        <w:jc w:val="center"/>
        <w:rPr>
          <w:rFonts w:eastAsia="Arial" w:cs="Arial" w:ascii="Arial" w:hAnsi="Arial"/>
          <w:b/>
          <w:bCs/>
          <w:sz w:val="36"/>
          <w:szCs w:val="36"/>
        </w:rPr>
      </w:pPr>
      <w:r>
        <w:rPr>
          <w:rFonts w:eastAsia="Arial" w:cs="Arial" w:ascii="Arial" w:hAnsi="Arial"/>
          <w:b/>
          <w:bCs/>
          <w:sz w:val="36"/>
          <w:szCs w:val="36"/>
        </w:rPr>
        <w:t>A ŘÍZENÍ O NICH</w:t>
      </w:r>
    </w:p>
    <w:p>
      <w:pPr>
        <w:pStyle w:val="Normal"/>
        <w:jc w:val="center"/>
        <w:rPr/>
      </w:pPr>
      <w:r>
        <w:rPr/>
      </w:r>
    </w:p>
    <w:p>
      <w:pPr>
        <w:pStyle w:val="Normal"/>
        <w:pBdr>
          <w:top w:val="nil"/>
          <w:left w:val="nil"/>
          <w:bottom w:val="single" w:sz="8" w:space="1" w:color="000001"/>
          <w:right w:val="nil"/>
        </w:pBdr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  <w:t>Den a místo konání</w:t>
      </w:r>
      <w:r>
        <w:rPr>
          <w:rFonts w:cs="Arial" w:ascii="Arial" w:hAnsi="Arial"/>
          <w:sz w:val="22"/>
          <w:szCs w:val="22"/>
        </w:rPr>
        <w:t xml:space="preserve"> </w:t>
      </w:r>
    </w:p>
    <w:p>
      <w:pPr>
        <w:pStyle w:val="Normal"/>
        <w:jc w:val="center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cs="Arial" w:ascii="Arial" w:hAnsi="Arial"/>
          <w:b/>
          <w:bCs/>
        </w:rPr>
      </w:pPr>
      <w:r>
        <w:rPr>
          <w:rFonts w:cs="Arial" w:ascii="Arial" w:hAnsi="Arial"/>
          <w:b/>
          <w:bCs/>
        </w:rPr>
        <w:t xml:space="preserve">29. září 2016 </w:t>
      </w:r>
    </w:p>
    <w:p>
      <w:pPr>
        <w:pStyle w:val="Normal"/>
        <w:jc w:val="center"/>
        <w:rPr>
          <w:rFonts w:cs="Arial" w:ascii="Arial" w:hAnsi="Arial"/>
          <w:b/>
          <w:bCs/>
        </w:rPr>
      </w:pPr>
      <w:r>
        <w:rPr>
          <w:rFonts w:cs="Arial" w:ascii="Arial" w:hAnsi="Arial"/>
          <w:b/>
          <w:bCs/>
        </w:rPr>
        <w:t>od 9.00 do 15.30 hodin</w:t>
      </w:r>
    </w:p>
    <w:p>
      <w:pPr>
        <w:pStyle w:val="Nadpis1"/>
        <w:numPr>
          <w:ilvl w:val="0"/>
          <w:numId w:val="1"/>
        </w:numPr>
        <w:rPr>
          <w:rFonts w:cs="Arial" w:ascii="Arial" w:hAnsi="Arial"/>
          <w:bCs/>
          <w:caps w:val="false"/>
          <w:smallCaps w:val="false"/>
        </w:rPr>
      </w:pPr>
      <w:bookmarkStart w:id="0" w:name="__DdeLink__64_232750483"/>
      <w:bookmarkEnd w:id="0"/>
      <w:r>
        <w:rPr>
          <w:rFonts w:cs="Arial" w:ascii="Arial" w:hAnsi="Arial"/>
          <w:bCs/>
          <w:caps w:val="false"/>
          <w:smallCaps w:val="false"/>
        </w:rPr>
        <w:t>Modřanský biograf - Praha 12,  U kina 1/44</w:t>
      </w:r>
    </w:p>
    <w:p>
      <w:pPr>
        <w:pStyle w:val="Normal"/>
        <w:pBdr>
          <w:top w:val="nil"/>
          <w:left w:val="nil"/>
          <w:bottom w:val="single" w:sz="8" w:space="1" w:color="000001"/>
          <w:right w:val="nil"/>
        </w:pBdr>
        <w:jc w:val="center"/>
        <w:rPr>
          <w:rFonts w:cs="Arial" w:ascii="Arial" w:hAnsi="Arial"/>
          <w:sz w:val="22"/>
          <w:szCs w:val="22"/>
        </w:rPr>
      </w:pPr>
      <w:bookmarkStart w:id="1" w:name="__DdeLink__64_2327504831"/>
      <w:bookmarkEnd w:id="1"/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(prezence od 8.00 hodin)</w:t>
      </w:r>
    </w:p>
    <w:p>
      <w:pPr>
        <w:pStyle w:val="Normal"/>
        <w:pBdr>
          <w:top w:val="nil"/>
          <w:left w:val="nil"/>
          <w:bottom w:val="single" w:sz="8" w:space="1" w:color="000001"/>
          <w:right w:val="nil"/>
        </w:pBdr>
        <w:jc w:val="center"/>
        <w:rPr>
          <w:rFonts w:cs="Arial" w:ascii="Arial" w:hAnsi="Arial"/>
          <w:b/>
          <w:bCs/>
          <w:sz w:val="22"/>
        </w:rPr>
      </w:pPr>
      <w:r>
        <w:rPr>
          <w:rFonts w:cs="Arial" w:ascii="Arial" w:hAnsi="Arial"/>
          <w:b/>
          <w:bCs/>
          <w:sz w:val="22"/>
        </w:rPr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Tlotextu"/>
        <w:jc w:val="center"/>
        <w:rPr>
          <w:rFonts w:cs="Arial" w:ascii="Arial" w:hAnsi="Arial"/>
          <w:b w:val="false"/>
          <w:bCs w:val="false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Tématické zaměření semináře:</w:t>
      </w:r>
    </w:p>
    <w:p>
      <w:pPr>
        <w:pStyle w:val="Normal"/>
        <w:jc w:val="center"/>
        <w:rPr>
          <w:rFonts w:cs="Arial" w:ascii="Arial" w:hAnsi="Arial"/>
          <w:b w:val="false"/>
          <w:bCs w:val="false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I.</w:t>
      </w:r>
    </w:p>
    <w:p>
      <w:pPr>
        <w:pStyle w:val="Normal"/>
        <w:jc w:val="center"/>
        <w:rPr>
          <w:rFonts w:cs="Arial" w:ascii="Arial" w:hAnsi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Zákon č. 250/2016 Sb., </w:t>
      </w:r>
      <w:r>
        <w:rPr>
          <w:rFonts w:ascii="Arial" w:hAnsi="Arial"/>
          <w:b/>
          <w:sz w:val="24"/>
          <w:szCs w:val="24"/>
        </w:rPr>
        <w:t>o odpovědnosti za přestupky a řízení o nich</w:t>
      </w:r>
      <w:r>
        <w:rPr>
          <w:rFonts w:cs="Arial" w:ascii="Arial" w:hAnsi="Arial"/>
          <w:b/>
          <w:bCs/>
          <w:sz w:val="24"/>
          <w:szCs w:val="24"/>
        </w:rPr>
        <w:t>.</w:t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  <w:t>Tento zákon nově upravuje podmínky odpovědnosti za přestupek, druhy správních trestů a ochranných opatření a zásady pro jejich ukládání, postup před zahájením řízení o přestupku a postup v řízení o přestupku.</w:t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  <w:t>Zrušuje se jím zákon č. 200/1990 Sb., o přestupcích, ve znění pozdějších předpisů,  a současně mění dalších 79 právních předpisů.</w:t>
      </w:r>
    </w:p>
    <w:p>
      <w:pPr>
        <w:pStyle w:val="Normal"/>
        <w:jc w:val="center"/>
        <w:rPr>
          <w:rFonts w:ascii="Arial" w:hAnsi="Arial"/>
        </w:rPr>
      </w:pPr>
      <w:r>
        <w:rPr>
          <w:rFonts w:ascii="Arial" w:hAnsi="Arial"/>
        </w:rPr>
        <w:t>Zákon nabyl platnosti 3. srpna 2016.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cs="Arial" w:ascii="Arial" w:hAnsi="Arial"/>
          <w:b w:val="false"/>
          <w:bCs w:val="false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>II.</w:t>
      </w:r>
    </w:p>
    <w:p>
      <w:pPr>
        <w:pStyle w:val="Normal"/>
        <w:jc w:val="center"/>
        <w:rPr>
          <w:rFonts w:cs="Arial" w:ascii="Arial" w:hAnsi="Arial"/>
          <w:b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           </w:t>
      </w:r>
      <w:r>
        <w:rPr>
          <w:rFonts w:cs="Arial" w:ascii="Arial" w:hAnsi="Arial"/>
          <w:b/>
          <w:bCs/>
          <w:sz w:val="24"/>
          <w:szCs w:val="24"/>
        </w:rPr>
        <w:t xml:space="preserve">Zákon č. 251/2016 Sb., </w:t>
      </w:r>
      <w:r>
        <w:rPr>
          <w:rFonts w:cs="Arial" w:ascii="Arial" w:hAnsi="Arial"/>
          <w:b/>
          <w:sz w:val="24"/>
          <w:szCs w:val="24"/>
        </w:rPr>
        <w:t>o některých přestupcích,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cs="Arial" w:ascii="Arial" w:hAnsi="Arial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kterým se rovněž nově upravují některé přestupky vyskytující se na různých úsecích  veřejné správy, včetně druhu a výše správních trestů, které lze za jejich spáchání uložit.</w:t>
      </w:r>
    </w:p>
    <w:p>
      <w:pPr>
        <w:pStyle w:val="Tlotextu"/>
        <w:jc w:val="center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_________________________________________________________________________</w:t>
      </w:r>
    </w:p>
    <w:p>
      <w:pPr>
        <w:pStyle w:val="Normal"/>
        <w:rPr>
          <w:rFonts w:cs="Arial" w:ascii="Arial" w:hAnsi="Arial"/>
          <w:sz w:val="18"/>
          <w:szCs w:val="18"/>
        </w:rPr>
      </w:pPr>
      <w:r>
        <w:rPr>
          <w:rFonts w:cs="Arial" w:ascii="Arial" w:hAnsi="Arial"/>
          <w:b/>
          <w:sz w:val="24"/>
          <w:szCs w:val="24"/>
        </w:rPr>
        <w:t xml:space="preserve">Přednášet bude </w:t>
      </w:r>
      <w:r>
        <w:rPr>
          <w:rFonts w:eastAsia="Arial" w:cs="Arial" w:ascii="Arial" w:hAnsi="Arial"/>
          <w:b/>
          <w:bCs/>
          <w:sz w:val="24"/>
          <w:szCs w:val="24"/>
        </w:rPr>
        <w:t>lektor nadmíru povolaný: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2"/>
        </w:rPr>
        <w:t xml:space="preserve">   </w:t>
      </w:r>
      <w:r>
        <w:rPr>
          <w:rFonts w:cs="Arial" w:ascii="Arial" w:hAnsi="Arial"/>
          <w:b/>
          <w:sz w:val="24"/>
          <w:szCs w:val="24"/>
        </w:rPr>
        <w:t>JUDr. Jan KNĚŽÍNEK, Ph.D.</w:t>
      </w:r>
      <w:r>
        <w:rPr>
          <w:rFonts w:cs="Arial" w:ascii="Arial" w:hAnsi="Arial"/>
          <w:b/>
          <w:bCs/>
          <w:sz w:val="22"/>
          <w:szCs w:val="22"/>
        </w:rPr>
        <w:t xml:space="preserve"> </w:t>
      </w:r>
      <w:r>
        <w:rPr>
          <w:rFonts w:cs="Arial" w:ascii="Arial" w:hAnsi="Arial"/>
          <w:b/>
          <w:bCs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  <w:sz w:val="18"/>
          <w:szCs w:val="18"/>
        </w:rPr>
        <w:t xml:space="preserve">                                                                                     </w:t>
      </w:r>
    </w:p>
    <w:p>
      <w:pPr>
        <w:pStyle w:val="Normal"/>
        <w:ind w:left="360" w:right="0" w:hanging="0"/>
        <w:rPr>
          <w:rFonts w:eastAsia="Arial" w:cs="Arial" w:ascii="Arial" w:hAnsi="Arial"/>
          <w:sz w:val="18"/>
          <w:szCs w:val="18"/>
        </w:rPr>
      </w:pPr>
      <w:r>
        <w:rPr>
          <w:rFonts w:eastAsia="Arial" w:cs="Arial" w:ascii="Arial" w:hAnsi="Arial"/>
          <w:sz w:val="18"/>
          <w:szCs w:val="18"/>
        </w:rPr>
        <w:t xml:space="preserve">  </w:t>
      </w:r>
      <w:r>
        <w:rPr>
          <w:rFonts w:eastAsia="Arial" w:cs="Arial" w:ascii="Arial" w:hAnsi="Arial"/>
          <w:b/>
          <w:bCs/>
          <w:sz w:val="22"/>
          <w:szCs w:val="22"/>
        </w:rPr>
        <w:t xml:space="preserve">    </w:t>
      </w:r>
      <w:r>
        <w:rPr>
          <w:rFonts w:eastAsia="Arial" w:cs="Arial" w:ascii="Arial" w:hAnsi="Arial"/>
          <w:sz w:val="18"/>
          <w:szCs w:val="18"/>
        </w:rPr>
        <w:t xml:space="preserve">                                                                        </w:t>
      </w:r>
    </w:p>
    <w:p>
      <w:pPr>
        <w:pStyle w:val="Normal"/>
        <w:ind w:left="360" w:right="0" w:hanging="0"/>
        <w:rPr>
          <w:rFonts w:cs="Arial" w:ascii="Arial" w:hAnsi="Arial"/>
          <w:sz w:val="20"/>
          <w:szCs w:val="20"/>
        </w:rPr>
      </w:pPr>
      <w:r>
        <w:rPr>
          <w:rFonts w:eastAsia="Arial" w:cs="Arial" w:ascii="Arial" w:hAnsi="Arial"/>
          <w:sz w:val="18"/>
          <w:szCs w:val="18"/>
        </w:rPr>
        <w:t xml:space="preserve">                                                                                     </w:t>
      </w:r>
      <w:r>
        <w:rPr>
          <w:rFonts w:eastAsia="Arial" w:cs="Arial" w:ascii="Arial" w:hAnsi="Arial"/>
          <w:sz w:val="20"/>
          <w:szCs w:val="20"/>
        </w:rPr>
        <w:t>náměstek pro řízení sekce L</w:t>
      </w:r>
      <w:r>
        <w:rPr>
          <w:rFonts w:cs="Arial" w:ascii="Arial" w:hAnsi="Arial"/>
          <w:sz w:val="20"/>
          <w:szCs w:val="20"/>
        </w:rPr>
        <w:t>egislativní rady vlády</w:t>
      </w:r>
    </w:p>
    <w:p>
      <w:pPr>
        <w:pStyle w:val="Normal"/>
        <w:ind w:left="360" w:right="0" w:hanging="0"/>
        <w:rPr>
          <w:rFonts w:cs="Arial" w:ascii="Arial" w:hAnsi="Arial"/>
          <w:sz w:val="20"/>
          <w:szCs w:val="20"/>
        </w:rPr>
      </w:pPr>
      <w:r>
        <w:rPr>
          <w:rFonts w:cs="Arial" w:ascii="Arial" w:hAnsi="Arial"/>
          <w:sz w:val="18"/>
          <w:szCs w:val="18"/>
        </w:rPr>
        <w:t xml:space="preserve">                                                                                                </w:t>
      </w:r>
      <w:r>
        <w:rPr>
          <w:rFonts w:eastAsia="Arial" w:cs="Arial" w:ascii="Arial" w:hAnsi="Arial"/>
          <w:sz w:val="18"/>
          <w:szCs w:val="18"/>
        </w:rPr>
        <w:t xml:space="preserve"> </w:t>
      </w:r>
      <w:r>
        <w:rPr>
          <w:rFonts w:eastAsia="Arial" w:cs="Arial" w:ascii="Arial" w:hAnsi="Arial"/>
          <w:sz w:val="20"/>
          <w:szCs w:val="20"/>
        </w:rPr>
        <w:t xml:space="preserve">    </w:t>
      </w:r>
      <w:r>
        <w:rPr>
          <w:rFonts w:cs="Arial" w:ascii="Arial" w:hAnsi="Arial"/>
          <w:sz w:val="20"/>
          <w:szCs w:val="20"/>
        </w:rPr>
        <w:t>Úřadu vlády České republiky</w:t>
      </w:r>
    </w:p>
    <w:p>
      <w:pPr>
        <w:pStyle w:val="Normal"/>
        <w:ind w:left="360" w:right="0" w:hanging="0"/>
        <w:rPr>
          <w:rFonts w:eastAsia="Arial" w:cs="Arial" w:ascii="Arial" w:hAnsi="Arial"/>
          <w:sz w:val="18"/>
          <w:szCs w:val="18"/>
        </w:rPr>
      </w:pPr>
      <w:r>
        <w:rPr>
          <w:rFonts w:cs="Arial" w:ascii="Arial" w:hAnsi="Arial"/>
          <w:sz w:val="20"/>
          <w:szCs w:val="20"/>
        </w:rPr>
        <w:t xml:space="preserve">                                                                                   </w:t>
      </w:r>
      <w:r>
        <w:rPr>
          <w:rFonts w:cs="Arial" w:ascii="Arial" w:hAnsi="Arial"/>
          <w:sz w:val="20"/>
          <w:szCs w:val="20"/>
        </w:rPr>
        <w:t xml:space="preserve">a místopředseda </w:t>
      </w:r>
      <w:r>
        <w:rPr>
          <w:rFonts w:eastAsia="Arial" w:cs="Arial" w:ascii="Arial" w:hAnsi="Arial"/>
          <w:sz w:val="20"/>
          <w:szCs w:val="20"/>
        </w:rPr>
        <w:t xml:space="preserve"> L</w:t>
      </w:r>
      <w:r>
        <w:rPr>
          <w:rFonts w:cs="Arial" w:ascii="Arial" w:hAnsi="Arial"/>
          <w:sz w:val="20"/>
          <w:szCs w:val="20"/>
        </w:rPr>
        <w:t>egislativní rady vlády</w:t>
      </w:r>
      <w:r>
        <w:rPr>
          <w:rFonts w:eastAsia="Arial" w:cs="Arial" w:ascii="Arial" w:hAnsi="Arial"/>
          <w:b/>
          <w:bCs/>
          <w:sz w:val="22"/>
        </w:rPr>
        <w:t xml:space="preserve">                     </w:t>
      </w:r>
      <w:r>
        <w:rPr>
          <w:rFonts w:eastAsia="Arial" w:cs="Arial" w:ascii="Arial" w:hAnsi="Arial"/>
          <w:b/>
          <w:bCs/>
          <w:sz w:val="18"/>
          <w:szCs w:val="18"/>
        </w:rPr>
        <w:t xml:space="preserve">        </w:t>
      </w:r>
      <w:r>
        <w:rPr>
          <w:rFonts w:eastAsia="Arial" w:cs="Arial" w:ascii="Arial" w:hAnsi="Arial"/>
          <w:sz w:val="20"/>
          <w:szCs w:val="20"/>
        </w:rPr>
        <w:t xml:space="preserve">                                                         </w:t>
      </w:r>
      <w:r>
        <w:rPr>
          <w:rFonts w:eastAsia="Arial" w:cs="Arial" w:ascii="Arial" w:hAnsi="Arial"/>
          <w:sz w:val="18"/>
          <w:szCs w:val="18"/>
        </w:rPr>
        <w:t xml:space="preserve">                                                  ______________________________________________________________________________________</w:t>
      </w:r>
    </w:p>
    <w:p>
      <w:pPr>
        <w:pStyle w:val="Normal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>Předmětné zákony obdrží každý účastník semináře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cs="Arial" w:ascii="Arial" w:hAnsi="Arial"/>
          <w:sz w:val="22"/>
          <w:szCs w:val="22"/>
          <w:u w:val="single"/>
        </w:rPr>
      </w:pPr>
      <w:r>
        <w:rPr>
          <w:rFonts w:cs="Arial" w:ascii="Arial" w:hAnsi="Arial"/>
          <w:sz w:val="22"/>
          <w:szCs w:val="22"/>
          <w:u w:val="single"/>
        </w:rPr>
        <w:t>Občerstvení zajištěno</w:t>
      </w:r>
    </w:p>
    <w:p>
      <w:pPr>
        <w:pStyle w:val="Normal"/>
        <w:jc w:val="center"/>
        <w:rPr>
          <w:rFonts w:cs="Arial" w:ascii="Arial" w:hAnsi="Arial"/>
          <w:b/>
          <w:bCs/>
          <w:sz w:val="20"/>
          <w:szCs w:val="22"/>
          <w:u w:val="single"/>
        </w:rPr>
      </w:pPr>
      <w:r>
        <w:rPr>
          <w:rFonts w:cs="Arial" w:ascii="Arial" w:hAnsi="Arial"/>
          <w:b/>
          <w:bCs/>
          <w:sz w:val="20"/>
          <w:szCs w:val="22"/>
          <w:u w:val="single"/>
        </w:rPr>
        <w:t>Podmínky a organizační informace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u w:val="none"/>
        </w:rPr>
      </w:pPr>
      <w:r>
        <w:rPr>
          <w:rFonts w:cs="Arial" w:ascii="Arial" w:hAnsi="Arial"/>
          <w:b w:val="false"/>
          <w:bCs w:val="false"/>
          <w:sz w:val="20"/>
          <w:u w:val="none"/>
        </w:rPr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1. Pořadatelem semináře je JUDr. Pavel Bušta, 143 00 Praha 4, Imrychova 881/21, IČ 63955555,</w:t>
      </w:r>
    </w:p>
    <w:p>
      <w:pPr>
        <w:pStyle w:val="Normal"/>
        <w:jc w:val="both"/>
        <w:rPr>
          <w:rStyle w:val="Internetovodkaz"/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    </w:t>
      </w: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tel./fax: +420 241772258, GSM: +420 602348078, e-mail: </w:t>
      </w:r>
      <w:hyperlink r:id="rId3">
        <w:r>
          <w:rPr>
            <w:rStyle w:val="Internetovodkaz"/>
            <w:rFonts w:cs="Arial" w:ascii="Arial" w:hAnsi="Arial"/>
            <w:b w:val="false"/>
            <w:bCs w:val="false"/>
            <w:sz w:val="20"/>
            <w:szCs w:val="20"/>
            <w:u w:val="none"/>
          </w:rPr>
          <w:t>pavel.busta@volny.cz</w:t>
        </w:r>
      </w:hyperlink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2. Závazná přihláška na seminář se zašle nejpozději do 27. září 2016 na adresu pořadatele, a to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    </w:t>
      </w: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poštou, faxem nebo e-mailem. Na jednu přihlášku lze přihlásit i více účastníků.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3. Účastnický poplatek činí 1 999,- Kč za jednu osobu. 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4. Platba se poukazuje na účet pořadatele semináře č. 709871153/0800.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5. Při neúčasti přihlášeného účastnický poplatek nevracíme.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6. Účastníci budou evidováni podle pořadí  doručených přihlášek.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   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7. Na základě řádně vyplněné závazné přihlášky bude vyhotoven daňový doklad a účastníkovi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    </w:t>
      </w: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semináře  předán nejpozději při registraci. Platba provedená před datem konání  semináře je      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    </w:t>
      </w: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zálohou ve  výši  100 % sjednané ceny. Dnem uskutečnění zdanitelného plnění je den konání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 xml:space="preserve">    </w:t>
      </w:r>
      <w:r>
        <w:rPr>
          <w:rFonts w:cs="Arial" w:ascii="Arial" w:hAnsi="Arial"/>
          <w:b w:val="false"/>
          <w:bCs w:val="false"/>
          <w:sz w:val="20"/>
          <w:szCs w:val="20"/>
          <w:u w:val="none"/>
        </w:rPr>
        <w:t>semináře.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szCs w:val="20"/>
          <w:u w:val="none"/>
        </w:rPr>
      </w:pPr>
      <w:r>
        <w:rPr>
          <w:rFonts w:cs="Arial" w:ascii="Arial" w:hAnsi="Arial"/>
          <w:b w:val="false"/>
          <w:bCs w:val="false"/>
          <w:sz w:val="20"/>
          <w:szCs w:val="20"/>
          <w:u w:val="none"/>
        </w:rPr>
      </w:r>
    </w:p>
    <w:p>
      <w:pPr>
        <w:pStyle w:val="Normal"/>
        <w:jc w:val="center"/>
        <w:rPr>
          <w:rFonts w:cs="Arial" w:ascii="Arial" w:hAnsi="Arial"/>
          <w:b/>
          <w:bCs/>
          <w:sz w:val="20"/>
          <w:u w:val="single"/>
        </w:rPr>
      </w:pPr>
      <w:r>
        <w:rPr>
          <w:rFonts w:cs="Arial" w:ascii="Arial" w:hAnsi="Arial"/>
          <w:b/>
          <w:bCs/>
          <w:sz w:val="20"/>
          <w:u w:val="single"/>
        </w:rPr>
        <w:t>Stanice MHD u místa konání semináře</w:t>
      </w:r>
    </w:p>
    <w:p>
      <w:pPr>
        <w:pStyle w:val="Normal"/>
        <w:jc w:val="center"/>
        <w:rPr>
          <w:rFonts w:cs="Arial" w:ascii="Arial" w:hAnsi="Arial"/>
          <w:b/>
          <w:bCs/>
          <w:sz w:val="20"/>
          <w:u w:val="single"/>
        </w:rPr>
      </w:pPr>
      <w:r>
        <w:rPr>
          <w:rFonts w:cs="Arial" w:ascii="Arial" w:hAnsi="Arial"/>
          <w:b/>
          <w:bCs/>
          <w:sz w:val="20"/>
          <w:u w:val="single"/>
        </w:rPr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u w:val="none"/>
        </w:rPr>
      </w:pPr>
      <w:r>
        <w:rPr>
          <w:rFonts w:cs="Arial" w:ascii="Arial" w:hAnsi="Arial"/>
          <w:b w:val="false"/>
          <w:bCs w:val="false"/>
          <w:sz w:val="20"/>
          <w:u w:val="none"/>
        </w:rPr>
        <w:t>Stanice tramvaje č. 3 a č. 17 „Nádraží Modřany“ - směrem od centra Prahy</w:t>
      </w:r>
    </w:p>
    <w:p>
      <w:pPr>
        <w:pStyle w:val="Normal"/>
        <w:jc w:val="both"/>
        <w:rPr>
          <w:rFonts w:cs="Arial" w:ascii="Arial" w:hAnsi="Arial"/>
          <w:b w:val="false"/>
          <w:bCs w:val="false"/>
          <w:sz w:val="20"/>
          <w:u w:val="none"/>
        </w:rPr>
      </w:pPr>
      <w:r>
        <w:rPr>
          <w:rFonts w:cs="Arial" w:ascii="Arial" w:hAnsi="Arial"/>
          <w:b w:val="false"/>
          <w:bCs w:val="false"/>
          <w:sz w:val="20"/>
          <w:u w:val="none"/>
        </w:rPr>
        <w:t>Stanice autobusu č. 139 „Nádraží Modřany“ - směrem od stanice metra trasy C „Kačerov“</w:t>
      </w:r>
    </w:p>
    <w:p>
      <w:pPr>
        <w:pStyle w:val="Normal"/>
        <w:jc w:val="both"/>
        <w:rPr>
          <w:rFonts w:cs="Arial" w:ascii="Arial" w:hAnsi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jc w:val="both"/>
        <w:rPr>
          <w:rFonts w:cs="Arial" w:ascii="Arial" w:hAnsi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jc w:val="center"/>
        <w:rPr>
          <w:rFonts w:cs="Arial" w:ascii="Arial" w:hAnsi="Arial"/>
          <w:sz w:val="20"/>
        </w:rPr>
      </w:pPr>
      <w:r>
        <w:rPr>
          <w:rFonts w:cs="Arial" w:ascii="Arial" w:hAnsi="Arial"/>
          <w:sz w:val="20"/>
        </w:rPr>
        <w:t>* * *</w:t>
      </w:r>
    </w:p>
    <w:p>
      <w:pPr>
        <w:pStyle w:val="Normal"/>
        <w:jc w:val="center"/>
        <w:rPr>
          <w:rFonts w:cs="Arial" w:ascii="Arial" w:hAnsi="Arial"/>
          <w:sz w:val="20"/>
        </w:rPr>
      </w:pPr>
      <w:r>
        <w:rPr>
          <w:rFonts w:cs="Arial" w:ascii="Arial" w:hAnsi="Arial"/>
          <w:sz w:val="20"/>
        </w:rPr>
      </w:r>
    </w:p>
    <w:tbl>
      <w:tblPr>
        <w:jc w:val="left"/>
        <w:tblInd w:w="29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  <w:right w:val="single" w:sz="4" w:space="0" w:color="000001"/>
          <w:insideV w:val="single" w:sz="4" w:space="0" w:color="000001"/>
        </w:tblBorders>
        <w:tblCellMar>
          <w:top w:w="0" w:type="dxa"/>
          <w:left w:w="25" w:type="dxa"/>
          <w:bottom w:w="0" w:type="dxa"/>
          <w:right w:w="70" w:type="dxa"/>
        </w:tblCellMar>
      </w:tblPr>
      <w:tblGrid>
        <w:gridCol w:w="9030"/>
      </w:tblGrid>
      <w:tr>
        <w:trPr>
          <w:trHeight w:val="465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Nadpis1"/>
              <w:rPr/>
            </w:pPr>
            <w:r>
              <w:rPr/>
            </w:r>
          </w:p>
          <w:p>
            <w:pPr>
              <w:pStyle w:val="Nadpis1"/>
              <w:rPr>
                <w:rFonts w:cs="Arial" w:ascii="Arial" w:hAnsi="Arial"/>
                <w:sz w:val="28"/>
                <w:szCs w:val="28"/>
              </w:rPr>
            </w:pPr>
            <w:r>
              <w:rPr>
                <w:rFonts w:cs="Arial" w:ascii="Arial" w:hAnsi="Arial"/>
                <w:b w:val="false"/>
                <w:bCs/>
                <w:sz w:val="20"/>
              </w:rPr>
              <w:t>Závazná přihláška na seminář</w:t>
            </w:r>
            <w:r>
              <w:rPr>
                <w:rFonts w:cs="Arial" w:ascii="Arial" w:hAnsi="Arial"/>
                <w:sz w:val="28"/>
                <w:szCs w:val="28"/>
              </w:rPr>
              <w:t xml:space="preserve"> </w:t>
            </w:r>
          </w:p>
          <w:p>
            <w:pPr>
              <w:pStyle w:val="Normal"/>
              <w:jc w:val="center"/>
              <w:rPr>
                <w:rFonts w:cs="Arial" w:ascii="Arial" w:hAnsi="Arial"/>
                <w:b/>
                <w:bCs/>
              </w:rPr>
            </w:pPr>
            <w:r>
              <w:rPr>
                <w:rFonts w:cs="Arial" w:ascii="Arial" w:hAnsi="Arial"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Nová právní úprava odpovědnosti za přestupky a řízení o nich</w:t>
            </w:r>
          </w:p>
          <w:p>
            <w:pPr>
              <w:pStyle w:val="Zkladntext31"/>
              <w:spacing w:before="0" w:after="120"/>
              <w:jc w:val="center"/>
              <w:rPr>
                <w:rFonts w:cs="Arial" w:ascii="Arial" w:hAnsi="Arial"/>
                <w:sz w:val="22"/>
              </w:rPr>
            </w:pPr>
            <w:r>
              <w:rPr>
                <w:rFonts w:cs="Arial" w:ascii="Arial" w:hAnsi="Arial"/>
                <w:sz w:val="22"/>
              </w:rPr>
              <w:t>konaný dne 29. září 2016 v Modřanském biografu – Praha 12, U kina 1/44</w:t>
            </w:r>
          </w:p>
        </w:tc>
      </w:tr>
      <w:tr>
        <w:trPr>
          <w:trHeight w:val="200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Zhlav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Firma:                                                                            IČ</w:t>
            </w:r>
          </w:p>
          <w:p>
            <w:pPr>
              <w:pStyle w:val="Zhlav"/>
              <w:rPr/>
            </w:pPr>
            <w:r>
              <w:rPr/>
            </w:r>
          </w:p>
          <w:p>
            <w:pPr>
              <w:pStyle w:val="Zhlav"/>
              <w:rPr/>
            </w:pPr>
            <w:r>
              <w:rPr/>
            </w:r>
          </w:p>
          <w:p>
            <w:pPr>
              <w:pStyle w:val="Zhlav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 xml:space="preserve">                                                                                     </w:t>
            </w:r>
          </w:p>
        </w:tc>
      </w:tr>
      <w:tr>
        <w:trPr>
          <w:trHeight w:val="260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 xml:space="preserve">Sídlo:   </w:t>
            </w:r>
          </w:p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 xml:space="preserve">                                                         </w:t>
            </w:r>
          </w:p>
        </w:tc>
      </w:tr>
      <w:tr>
        <w:trPr>
          <w:trHeight w:val="160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Jméno a příjmení</w:t>
            </w:r>
          </w:p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 xml:space="preserve">účastníka:                                                                       tel.:    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 xml:space="preserve">                        </w:t>
            </w:r>
          </w:p>
        </w:tc>
      </w:tr>
      <w:tr>
        <w:trPr>
          <w:trHeight w:val="240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 xml:space="preserve">Ulice:     </w:t>
            </w:r>
          </w:p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 xml:space="preserve">                                                                          </w:t>
            </w:r>
            <w:r>
              <w:rPr>
                <w:rFonts w:cs="Arial" w:ascii="Arial" w:hAnsi="Arial"/>
              </w:rPr>
              <w:t>E-mail:</w:t>
            </w:r>
          </w:p>
        </w:tc>
      </w:tr>
      <w:tr>
        <w:trPr>
          <w:trHeight w:val="140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PSČ:                                   Obec:</w:t>
            </w:r>
          </w:p>
          <w:p>
            <w:pPr>
              <w:pStyle w:val="Normal"/>
              <w:rPr>
                <w:rFonts w:cs="Arial" w:ascii="Arial" w:hAnsi="Arial"/>
              </w:rPr>
            </w:pPr>
            <w:r>
              <w:rPr>
                <w:rFonts w:cs="Arial" w:ascii="Arial" w:hAnsi="Arial"/>
              </w:rPr>
              <w:t xml:space="preserve">              </w:t>
            </w:r>
          </w:p>
        </w:tc>
      </w:tr>
      <w:tr>
        <w:trPr>
          <w:trHeight w:val="860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Normal"/>
              <w:rPr>
                <w:rFonts w:cs="Arial" w:ascii="Arial" w:hAnsi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cs="Arial" w:ascii="Arial" w:hAnsi="Arial"/>
                <w:sz w:val="20"/>
              </w:rPr>
            </w:pPr>
            <w:r>
              <w:rPr>
                <w:rFonts w:cs="Arial" w:ascii="Arial" w:hAnsi="Arial"/>
                <w:sz w:val="20"/>
              </w:rPr>
              <w:t xml:space="preserve">Potvrzujeme, že na účet pořadatele semináře byl dne...........................................    </w:t>
            </w:r>
          </w:p>
          <w:p>
            <w:pPr>
              <w:pStyle w:val="Normal"/>
              <w:rPr>
                <w:rFonts w:cs="Arial" w:ascii="Arial" w:hAnsi="Arial"/>
                <w:sz w:val="20"/>
              </w:rPr>
            </w:pPr>
            <w:r>
              <w:rPr>
                <w:rFonts w:cs="Arial" w:ascii="Arial" w:hAnsi="Arial"/>
                <w:sz w:val="20"/>
              </w:rPr>
              <w:t xml:space="preserve"> </w:t>
            </w:r>
          </w:p>
          <w:p>
            <w:pPr>
              <w:pStyle w:val="Normal"/>
              <w:rPr>
                <w:rFonts w:cs="Arial" w:ascii="Arial" w:hAnsi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uhrazen účastnický poplatek  ve výši  ….......….......................  Kč za  …..... osob.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896" w:hRule="atLeast"/>
          <w:cantSplit w:val="false"/>
        </w:trPr>
        <w:tc>
          <w:tcPr>
            <w:tcW w:w="90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25" w:type="dxa"/>
            </w:tcMar>
          </w:tcPr>
          <w:p>
            <w:pPr>
              <w:pStyle w:val="NormalWeb"/>
              <w:spacing w:before="0" w:after="0"/>
              <w:rPr>
                <w:rFonts w:eastAsia="Times New Roman" w:cs="Arial" w:ascii="Arial" w:hAnsi="Arial"/>
                <w:sz w:val="20"/>
              </w:rPr>
            </w:pPr>
            <w:r>
              <w:rPr>
                <w:rFonts w:eastAsia="Arial" w:cs="Arial" w:ascii="Arial" w:hAnsi="Arial"/>
                <w:sz w:val="20"/>
              </w:rPr>
              <w:t xml:space="preserve">  </w:t>
            </w:r>
            <w:r>
              <w:rPr>
                <w:rFonts w:eastAsia="Times New Roman" w:cs="Arial" w:ascii="Arial" w:hAnsi="Arial"/>
                <w:sz w:val="20"/>
              </w:rPr>
              <w:t>Podpis objednatele:                                                                 Razítko:</w:t>
            </w:r>
          </w:p>
        </w:tc>
      </w:tr>
    </w:tbl>
    <w:p>
      <w:pPr>
        <w:pStyle w:val="Normal"/>
        <w:jc w:val="center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Arial">
    <w:charset w:val="ee"/>
    <w:family w:val="swiss"/>
    <w:pitch w:val="variable"/>
  </w:font>
  <w:font w:name="Arial Unicode MS"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SimSun" w:cs="Mangal"/>
        <w:sz w:val="24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cs-CZ" w:eastAsia="zh-CN" w:bidi="ar-SA"/>
    </w:rPr>
  </w:style>
  <w:style w:type="paragraph" w:styleId="Nadpis1">
    <w:name w:val="Nadpis 1"/>
    <w:basedOn w:val="Normal"/>
    <w:next w:val="Normal"/>
    <w:pPr>
      <w:keepNext/>
      <w:jc w:val="center"/>
      <w:outlineLvl w:val="0"/>
    </w:pPr>
    <w:rPr>
      <w:b/>
      <w:caps/>
    </w:rPr>
  </w:style>
  <w:style w:type="paragraph" w:styleId="Nadpis2">
    <w:name w:val="Nadpis 2"/>
    <w:basedOn w:val="Nadpis"/>
    <w:pPr/>
    <w:rPr/>
  </w:style>
  <w:style w:type="paragraph" w:styleId="Nadpis3">
    <w:name w:val="Nadpis 3"/>
    <w:basedOn w:val="Nadpis"/>
    <w:pPr/>
    <w:rPr/>
  </w:style>
  <w:style w:type="paragraph" w:styleId="Nadpis4">
    <w:name w:val="Nadpis 4"/>
    <w:basedOn w:val="Normal"/>
    <w:next w:val="Normal"/>
    <w:pPr>
      <w:keepNext/>
      <w:spacing w:before="240" w:after="60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paragraph" w:styleId="Nadpis5">
    <w:name w:val="Nadpis 5"/>
    <w:basedOn w:val="Normal"/>
    <w:next w:val="Normal"/>
    <w:pPr>
      <w:spacing w:before="240" w:after="60"/>
      <w:outlineLvl w:val="4"/>
    </w:pPr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styleId="WW8Num1z0">
    <w:name w:val="WW8Num1z0"/>
    <w:rPr/>
  </w:style>
  <w:style w:type="character" w:styleId="WW8Num1z1">
    <w:name w:val="WW8Num1z1"/>
    <w:rPr/>
  </w:style>
  <w:style w:type="character" w:styleId="WW8Num1z2">
    <w:name w:val="WW8Num1z2"/>
    <w:rPr/>
  </w:style>
  <w:style w:type="character" w:styleId="WW8Num1z3">
    <w:name w:val="WW8Num1z3"/>
    <w:rPr/>
  </w:style>
  <w:style w:type="character" w:styleId="WW8Num1z4">
    <w:name w:val="WW8Num1z4"/>
    <w:rPr/>
  </w:style>
  <w:style w:type="character" w:styleId="WW8Num1z5">
    <w:name w:val="WW8Num1z5"/>
    <w:rPr/>
  </w:style>
  <w:style w:type="character" w:styleId="WW8Num1z6">
    <w:name w:val="WW8Num1z6"/>
    <w:rPr/>
  </w:style>
  <w:style w:type="character" w:styleId="WW8Num1z7">
    <w:name w:val="WW8Num1z7"/>
    <w:rPr/>
  </w:style>
  <w:style w:type="character" w:styleId="WW8Num1z8">
    <w:name w:val="WW8Num1z8"/>
    <w:rPr/>
  </w:style>
  <w:style w:type="character" w:styleId="WW8Num2z0">
    <w:name w:val="WW8Num2z0"/>
    <w:rPr/>
  </w:style>
  <w:style w:type="character" w:styleId="WW8Num2z1">
    <w:name w:val="WW8Num2z1"/>
    <w:rPr>
      <w:rFonts w:ascii="Symbol" w:hAnsi="Symbol" w:cs="Symbol"/>
    </w:rPr>
  </w:style>
  <w:style w:type="character" w:styleId="WW8Num2z2">
    <w:name w:val="WW8Num2z2"/>
    <w:rPr/>
  </w:style>
  <w:style w:type="character" w:styleId="WW8Num2z3">
    <w:name w:val="WW8Num2z3"/>
    <w:rPr/>
  </w:style>
  <w:style w:type="character" w:styleId="WW8Num2z4">
    <w:name w:val="WW8Num2z4"/>
    <w:rPr/>
  </w:style>
  <w:style w:type="character" w:styleId="WW8Num2z5">
    <w:name w:val="WW8Num2z5"/>
    <w:rPr/>
  </w:style>
  <w:style w:type="character" w:styleId="WW8Num2z6">
    <w:name w:val="WW8Num2z6"/>
    <w:rPr/>
  </w:style>
  <w:style w:type="character" w:styleId="WW8Num2z7">
    <w:name w:val="WW8Num2z7"/>
    <w:rPr/>
  </w:style>
  <w:style w:type="character" w:styleId="WW8Num2z8">
    <w:name w:val="WW8Num2z8"/>
    <w:rPr/>
  </w:style>
  <w:style w:type="character" w:styleId="Standardnpsmoodstavce">
    <w:name w:val="Standardní písmo odstavce"/>
    <w:rPr/>
  </w:style>
  <w:style w:type="character" w:styleId="WW8Num3z1">
    <w:name w:val="WW8Num3z1"/>
    <w:rPr>
      <w:rFonts w:ascii="Symbol" w:hAnsi="Symbol" w:cs="Symbol"/>
    </w:rPr>
  </w:style>
  <w:style w:type="character" w:styleId="WW8Num4z0">
    <w:name w:val="WW8Num4z0"/>
    <w:rPr>
      <w:rFonts w:ascii="Symbol" w:hAnsi="Symbol" w:cs="Symbol"/>
    </w:rPr>
  </w:style>
  <w:style w:type="character" w:styleId="WW8Num4z1">
    <w:name w:val="WW8Num4z1"/>
    <w:rPr>
      <w:rFonts w:ascii="Courier New" w:hAnsi="Courier New" w:cs="Courier New"/>
    </w:rPr>
  </w:style>
  <w:style w:type="character" w:styleId="WW8Num4z2">
    <w:name w:val="WW8Num4z2"/>
    <w:rPr>
      <w:rFonts w:ascii="Wingdings" w:hAnsi="Wingdings" w:cs="Wingdings"/>
    </w:rPr>
  </w:style>
  <w:style w:type="character" w:styleId="Standardnpsmoodstavce1">
    <w:name w:val="Standardní písmo odstavce1"/>
    <w:rPr/>
  </w:style>
  <w:style w:type="character" w:styleId="ZhlavChar">
    <w:name w:val="Záhlaví Char"/>
    <w:basedOn w:val="Standardnpsmoodstavce1"/>
    <w:rPr>
      <w:sz w:val="24"/>
      <w:szCs w:val="24"/>
    </w:rPr>
  </w:style>
  <w:style w:type="character" w:styleId="ZpatChar">
    <w:name w:val="Zápatí Char"/>
    <w:basedOn w:val="Standardnpsmoodstavce1"/>
    <w:rPr>
      <w:sz w:val="24"/>
      <w:szCs w:val="24"/>
    </w:rPr>
  </w:style>
  <w:style w:type="character" w:styleId="Nadpis5Char">
    <w:name w:val="Nadpis 5 Char"/>
    <w:basedOn w:val="Standardnpsmoodstavce1"/>
    <w:rPr>
      <w:rFonts w:ascii="Calibri" w:hAnsi="Calibri" w:eastAsia="Times New Roman" w:cs="Times New Roman"/>
      <w:b/>
      <w:bCs/>
      <w:i/>
      <w:iCs/>
      <w:sz w:val="26"/>
      <w:szCs w:val="26"/>
    </w:rPr>
  </w:style>
  <w:style w:type="character" w:styleId="Nadpis4Char">
    <w:name w:val="Nadpis 4 Char"/>
    <w:basedOn w:val="Standardnpsmoodstavce1"/>
    <w:rPr>
      <w:rFonts w:ascii="Calibri" w:hAnsi="Calibri" w:eastAsia="Times New Roman" w:cs="Times New Roman"/>
      <w:b/>
      <w:bCs/>
      <w:sz w:val="28"/>
      <w:szCs w:val="28"/>
    </w:rPr>
  </w:style>
  <w:style w:type="character" w:styleId="Zkladntext3Char">
    <w:name w:val="Základní text 3 Char"/>
    <w:basedOn w:val="Standardnpsmoodstavce1"/>
    <w:rPr>
      <w:sz w:val="16"/>
      <w:szCs w:val="16"/>
    </w:rPr>
  </w:style>
  <w:style w:type="character" w:styleId="ZkladntextodsazenChar">
    <w:name w:val="Základní text odsazený Char"/>
    <w:basedOn w:val="Standardnpsmoodstavce1"/>
    <w:rPr>
      <w:sz w:val="24"/>
      <w:szCs w:val="24"/>
    </w:rPr>
  </w:style>
  <w:style w:type="character" w:styleId="Zkladntextodsazen2Char">
    <w:name w:val="Základní text odsazený 2 Char"/>
    <w:basedOn w:val="Standardnpsmoodstavce1"/>
    <w:rPr>
      <w:sz w:val="24"/>
      <w:szCs w:val="24"/>
    </w:rPr>
  </w:style>
  <w:style w:type="character" w:styleId="Zkladntext2Char">
    <w:name w:val="Základní text 2 Char"/>
    <w:basedOn w:val="Standardnpsmoodstavce1"/>
    <w:rPr>
      <w:sz w:val="24"/>
      <w:szCs w:val="24"/>
    </w:rPr>
  </w:style>
  <w:style w:type="character" w:styleId="Internetovodkaz">
    <w:name w:val="Internetový odkaz"/>
    <w:rPr>
      <w:color w:val="000080"/>
      <w:u w:val="single"/>
      <w:lang w:val="zxx" w:eastAsia="zxx" w:bidi="zxx"/>
    </w:rPr>
  </w:style>
  <w:style w:type="character" w:styleId="ListLabel1">
    <w:name w:val="ListLabel 1"/>
    <w:rPr>
      <w:rFonts w:cs="Symbol"/>
    </w:rPr>
  </w:style>
  <w:style w:type="character" w:styleId="ListLabel2">
    <w:name w:val="ListLabel 2"/>
    <w:rPr>
      <w:rFonts w:cs="Symbol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  <w:jc w:val="both"/>
    </w:pPr>
    <w:rPr/>
  </w:style>
  <w:style w:type="paragraph" w:styleId="Seznam">
    <w:name w:val="Seznam"/>
    <w:basedOn w:val="Tlotextu"/>
    <w:pPr/>
    <w:rPr>
      <w:rFonts w:cs="Tahoma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Tahoma"/>
    </w:rPr>
  </w:style>
  <w:style w:type="paragraph" w:styleId="Zhlav">
    <w:name w:val="Záhlaví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Zpat">
    <w:name w:val="Zápatí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Zkladntext31">
    <w:name w:val="Základní text 31"/>
    <w:basedOn w:val="Normal"/>
    <w:pPr>
      <w:spacing w:before="0" w:after="120"/>
    </w:pPr>
    <w:rPr>
      <w:sz w:val="16"/>
      <w:szCs w:val="16"/>
    </w:rPr>
  </w:style>
  <w:style w:type="paragraph" w:styleId="Odsazentlatextu">
    <w:name w:val="Odsazení těla textu"/>
    <w:basedOn w:val="Normal"/>
    <w:pPr>
      <w:spacing w:before="0" w:after="120"/>
      <w:ind w:left="283" w:right="0" w:hanging="0"/>
    </w:pPr>
    <w:rPr/>
  </w:style>
  <w:style w:type="paragraph" w:styleId="Zkladntextodsazen21">
    <w:name w:val="Základní text odsazený 21"/>
    <w:basedOn w:val="Normal"/>
    <w:pPr>
      <w:spacing w:lineRule="auto" w:line="480" w:before="0" w:after="120"/>
      <w:ind w:left="283" w:right="0" w:hanging="0"/>
    </w:pPr>
    <w:rPr/>
  </w:style>
  <w:style w:type="paragraph" w:styleId="Normlnweb">
    <w:name w:val="Normální (web)"/>
    <w:basedOn w:val="Normal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Zkladntext21">
    <w:name w:val="Základní text 21"/>
    <w:basedOn w:val="Normal"/>
    <w:pPr>
      <w:spacing w:lineRule="auto" w:line="480" w:before="0" w:after="120"/>
    </w:pPr>
    <w:rPr/>
  </w:style>
  <w:style w:type="paragraph" w:styleId="Bezmezer">
    <w:name w:val="Bez mezer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Arial" w:cs="Times New Roman"/>
      <w:color w:val="00000A"/>
      <w:sz w:val="24"/>
      <w:szCs w:val="24"/>
      <w:lang w:val="cs-CZ" w:eastAsia="zh-CN" w:bidi="ar-SA"/>
    </w:rPr>
  </w:style>
  <w:style w:type="paragraph" w:styleId="Obsahtabulky">
    <w:name w:val="Obsah tabulky"/>
    <w:basedOn w:val="Normal"/>
    <w:pPr>
      <w:suppressLineNumbers/>
    </w:pPr>
    <w:rPr/>
  </w:style>
  <w:style w:type="paragraph" w:styleId="Nadpistabulky">
    <w:name w:val="Nadpis tabulky"/>
    <w:basedOn w:val="Obsahtabulky"/>
    <w:pPr>
      <w:suppressLineNumbers/>
      <w:jc w:val="center"/>
    </w:pPr>
    <w:rPr>
      <w:b/>
      <w:bCs/>
    </w:rPr>
  </w:style>
  <w:style w:type="paragraph" w:styleId="NormalWeb">
    <w:name w:val="Normal (Web)"/>
    <w:basedOn w:val="Normal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Citace">
    <w:name w:val="Citace"/>
    <w:basedOn w:val="Normal"/>
    <w:pPr/>
    <w:rPr/>
  </w:style>
  <w:style w:type="paragraph" w:styleId="Nzev">
    <w:name w:val="Název"/>
    <w:basedOn w:val="Nadpis"/>
    <w:pPr/>
    <w:rPr/>
  </w:style>
  <w:style w:type="paragraph" w:styleId="Podtitul">
    <w:name w:val="Podtitul"/>
    <w:basedOn w:val="Nadpis"/>
    <w:pPr/>
    <w:rPr/>
  </w:style>
  <w:style w:type="numbering" w:styleId="WW8Num1">
    <w:name w:val="WW8Num1"/>
  </w:style>
  <w:style w:type="numbering" w:styleId="WW8Num2">
    <w:name w:val="WW8Num2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avel.busta@volny.cz" TargetMode="External"/><Relationship Id="rId3" Type="http://schemas.openxmlformats.org/officeDocument/2006/relationships/hyperlink" Target="mailto:pavel.busta@volny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</TotalTime>
  <Application>LibreOffice/4.2.5.2$Windows_x86 LibreOffice_project/61cb170a04bb1f12e77c884eab9192be736ec5f5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2011-02-05T10:49:00Z</dcterms:created>
  <dc:creator>BustaP</dc:creator>
  <dc:language>cs-CZ</dc:language>
  <cp:lastPrinted>2016-08-04T10:15:33Z</cp:lastPrinted>
  <dcterms:modified xsi:type="dcterms:W3CDTF">2016-02-15T08:25:33Z</dcterms:modified>
  <cp:revision>3</cp:revision>
  <dc:title>Agentura Venice Music Production Praha</dc:title>
</cp:coreProperties>
</file>